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38" w:rsidRDefault="006B6738" w:rsidP="006B6738">
      <w:pPr>
        <w:ind w:left="0" w:firstLine="0"/>
        <w:jc w:val="center"/>
      </w:pPr>
    </w:p>
    <w:p w:rsidR="006B6738" w:rsidRDefault="006B6738" w:rsidP="006B6738">
      <w:pPr>
        <w:ind w:left="0" w:firstLine="0"/>
        <w:jc w:val="center"/>
      </w:pPr>
    </w:p>
    <w:p w:rsidR="006B6738" w:rsidRDefault="006B6738" w:rsidP="006B6738">
      <w:pPr>
        <w:ind w:left="0" w:firstLine="0"/>
        <w:jc w:val="center"/>
      </w:pPr>
    </w:p>
    <w:p w:rsidR="002A764B" w:rsidRDefault="006B6738" w:rsidP="006B6738">
      <w:pPr>
        <w:ind w:left="0" w:firstLine="0"/>
        <w:jc w:val="center"/>
      </w:pPr>
      <w:r w:rsidRPr="00F44969">
        <w:rPr>
          <w:noProof/>
          <w:lang w:eastAsia="en-GB"/>
        </w:rPr>
        <w:drawing>
          <wp:inline distT="0" distB="0" distL="0" distR="0" wp14:anchorId="2FF63862" wp14:editId="13DDDDEC">
            <wp:extent cx="1219200" cy="615576"/>
            <wp:effectExtent l="0" t="0" r="0" b="0"/>
            <wp:docPr id="3" name="Picture 3" descr="P:\HR System\Logos and Signatures for Bamboo templates\Compan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R System\Logos and Signatures for Bamboo templates\Company'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384" cy="622233"/>
                    </a:xfrm>
                    <a:prstGeom prst="rect">
                      <a:avLst/>
                    </a:prstGeom>
                    <a:noFill/>
                    <a:ln>
                      <a:noFill/>
                    </a:ln>
                  </pic:spPr>
                </pic:pic>
              </a:graphicData>
            </a:graphic>
          </wp:inline>
        </w:drawing>
      </w:r>
    </w:p>
    <w:p w:rsidR="006B6738" w:rsidRDefault="006B6738" w:rsidP="006B6738">
      <w:pPr>
        <w:ind w:left="0" w:firstLine="0"/>
        <w:jc w:val="center"/>
      </w:pPr>
    </w:p>
    <w:p w:rsidR="006B6738" w:rsidRPr="00BB1288" w:rsidRDefault="007E634F" w:rsidP="006B6738">
      <w:pPr>
        <w:ind w:left="113" w:firstLine="0"/>
        <w:jc w:val="center"/>
      </w:pPr>
      <w:r>
        <w:t>Job Description</w:t>
      </w:r>
      <w:bookmarkStart w:id="0" w:name="_GoBack"/>
      <w:bookmarkEnd w:id="0"/>
    </w:p>
    <w:p w:rsidR="006B6738" w:rsidRPr="00BB1288" w:rsidRDefault="006B6738" w:rsidP="006B6738">
      <w:pPr>
        <w:ind w:left="1100" w:firstLine="0"/>
        <w:jc w:val="center"/>
        <w:rPr>
          <w:u w:val="single"/>
        </w:rPr>
      </w:pP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6B6738" w:rsidRPr="00BB1288" w:rsidTr="00DB5B75">
        <w:trPr>
          <w:trHeight w:val="245"/>
        </w:trPr>
        <w:tc>
          <w:tcPr>
            <w:tcW w:w="4428" w:type="dxa"/>
            <w:vMerge w:val="restart"/>
          </w:tcPr>
          <w:p w:rsidR="006B6738" w:rsidRPr="00BB1288" w:rsidRDefault="006B6738" w:rsidP="00DB5B75">
            <w:pPr>
              <w:rPr>
                <w:rFonts w:eastAsia="Times New Roman"/>
              </w:rPr>
            </w:pPr>
            <w:r w:rsidRPr="00BB1288">
              <w:rPr>
                <w:rFonts w:eastAsia="Times New Roman"/>
              </w:rPr>
              <w:t xml:space="preserve">Job Title:            </w:t>
            </w:r>
          </w:p>
          <w:p w:rsidR="006B6738" w:rsidRDefault="006B6738" w:rsidP="00DB5B75">
            <w:pPr>
              <w:rPr>
                <w:rFonts w:eastAsia="Times New Roman"/>
              </w:rPr>
            </w:pPr>
          </w:p>
          <w:p w:rsidR="006B6738" w:rsidRPr="00BB1288" w:rsidRDefault="006B6738" w:rsidP="00DB5B75">
            <w:pPr>
              <w:rPr>
                <w:rFonts w:eastAsia="Times New Roman"/>
              </w:rPr>
            </w:pPr>
            <w:r>
              <w:rPr>
                <w:rFonts w:eastAsia="Times New Roman"/>
              </w:rPr>
              <w:t>Accounts Assistant – Purchase Ledger</w:t>
            </w:r>
          </w:p>
        </w:tc>
        <w:tc>
          <w:tcPr>
            <w:tcW w:w="4860" w:type="dxa"/>
          </w:tcPr>
          <w:p w:rsidR="006B6738" w:rsidRPr="00BB1288" w:rsidRDefault="006B6738" w:rsidP="00DB5B75">
            <w:pPr>
              <w:ind w:left="0" w:firstLine="0"/>
              <w:rPr>
                <w:rFonts w:eastAsia="Times New Roman"/>
              </w:rPr>
            </w:pPr>
            <w:r w:rsidRPr="00BB1288">
              <w:rPr>
                <w:rFonts w:eastAsia="Times New Roman"/>
              </w:rPr>
              <w:t xml:space="preserve">  Function:      </w:t>
            </w:r>
            <w:r>
              <w:rPr>
                <w:rFonts w:eastAsia="Times New Roman"/>
              </w:rPr>
              <w:t xml:space="preserve">       Accounts</w:t>
            </w:r>
            <w:r w:rsidRPr="00BB1288">
              <w:rPr>
                <w:rFonts w:eastAsia="Times New Roman"/>
              </w:rPr>
              <w:t xml:space="preserve">       </w:t>
            </w:r>
          </w:p>
          <w:p w:rsidR="006B6738" w:rsidRPr="00BB1288" w:rsidRDefault="006B6738" w:rsidP="00DB5B75">
            <w:pPr>
              <w:ind w:left="0" w:firstLine="0"/>
              <w:rPr>
                <w:rFonts w:eastAsia="Times New Roman"/>
              </w:rPr>
            </w:pPr>
          </w:p>
        </w:tc>
      </w:tr>
      <w:tr w:rsidR="006B6738" w:rsidRPr="00BB1288" w:rsidTr="00DB5B75">
        <w:trPr>
          <w:trHeight w:val="245"/>
        </w:trPr>
        <w:tc>
          <w:tcPr>
            <w:tcW w:w="4428" w:type="dxa"/>
            <w:vMerge/>
          </w:tcPr>
          <w:p w:rsidR="006B6738" w:rsidRPr="00BB1288" w:rsidRDefault="006B6738" w:rsidP="00DB5B75">
            <w:pPr>
              <w:rPr>
                <w:rFonts w:eastAsia="Times New Roman"/>
              </w:rPr>
            </w:pPr>
          </w:p>
        </w:tc>
        <w:tc>
          <w:tcPr>
            <w:tcW w:w="4860" w:type="dxa"/>
          </w:tcPr>
          <w:p w:rsidR="006B6738" w:rsidRPr="00BB1288" w:rsidRDefault="006B6738" w:rsidP="00DB5B75">
            <w:pPr>
              <w:ind w:left="0" w:firstLine="0"/>
              <w:rPr>
                <w:rFonts w:eastAsia="Times New Roman"/>
              </w:rPr>
            </w:pPr>
            <w:r w:rsidRPr="00BB1288">
              <w:rPr>
                <w:rFonts w:eastAsia="Times New Roman"/>
              </w:rPr>
              <w:t xml:space="preserve">  Region:      </w:t>
            </w:r>
            <w:r>
              <w:rPr>
                <w:rFonts w:eastAsia="Times New Roman"/>
              </w:rPr>
              <w:t xml:space="preserve">           UK - Sandbach</w:t>
            </w:r>
            <w:r w:rsidRPr="00BB1288">
              <w:rPr>
                <w:rFonts w:eastAsia="Times New Roman"/>
              </w:rPr>
              <w:t xml:space="preserve"> </w:t>
            </w:r>
          </w:p>
          <w:p w:rsidR="006B6738" w:rsidRPr="00BB1288" w:rsidRDefault="006B6738" w:rsidP="00DB5B75">
            <w:pPr>
              <w:ind w:left="0" w:firstLine="0"/>
              <w:rPr>
                <w:rFonts w:eastAsia="Times New Roman"/>
              </w:rPr>
            </w:pPr>
          </w:p>
        </w:tc>
      </w:tr>
      <w:tr w:rsidR="006B6738" w:rsidRPr="00BB1288" w:rsidTr="00DB5B75">
        <w:tc>
          <w:tcPr>
            <w:tcW w:w="4428" w:type="dxa"/>
          </w:tcPr>
          <w:p w:rsidR="006B6738" w:rsidRDefault="006B6738" w:rsidP="00DB5B75">
            <w:pPr>
              <w:rPr>
                <w:rFonts w:eastAsia="Times New Roman"/>
              </w:rPr>
            </w:pPr>
            <w:r w:rsidRPr="00BB1288">
              <w:rPr>
                <w:rFonts w:eastAsia="Times New Roman"/>
              </w:rPr>
              <w:t xml:space="preserve">Responsible to:  </w:t>
            </w:r>
          </w:p>
          <w:p w:rsidR="006B6738" w:rsidRPr="00BB1288" w:rsidRDefault="006B6738" w:rsidP="00DB5B75">
            <w:pPr>
              <w:rPr>
                <w:rFonts w:eastAsia="Times New Roman"/>
              </w:rPr>
            </w:pPr>
            <w:r>
              <w:rPr>
                <w:rFonts w:eastAsia="Times New Roman"/>
              </w:rPr>
              <w:t>Senior Accounts Assistant- Purchase Ledger</w:t>
            </w:r>
          </w:p>
          <w:p w:rsidR="006B6738" w:rsidRPr="00BB1288" w:rsidRDefault="006B6738" w:rsidP="00DB5B75">
            <w:pPr>
              <w:ind w:left="1100" w:firstLine="0"/>
              <w:rPr>
                <w:rFonts w:eastAsia="Times New Roman"/>
              </w:rPr>
            </w:pPr>
          </w:p>
        </w:tc>
        <w:tc>
          <w:tcPr>
            <w:tcW w:w="4860" w:type="dxa"/>
          </w:tcPr>
          <w:p w:rsidR="006B6738" w:rsidRPr="00D365B2" w:rsidRDefault="006B6738" w:rsidP="00DB5B75">
            <w:pPr>
              <w:rPr>
                <w:rFonts w:eastAsia="Times New Roman"/>
              </w:rPr>
            </w:pPr>
            <w:r w:rsidRPr="00BB1288">
              <w:rPr>
                <w:rFonts w:eastAsia="Times New Roman"/>
              </w:rPr>
              <w:t>Responsible for</w:t>
            </w:r>
            <w:r>
              <w:rPr>
                <w:rFonts w:eastAsia="Times New Roman"/>
              </w:rPr>
              <w:t>:  No direct reports</w:t>
            </w:r>
          </w:p>
        </w:tc>
      </w:tr>
      <w:tr w:rsidR="006B6738" w:rsidRPr="00BB1288" w:rsidTr="00DB5B75">
        <w:tc>
          <w:tcPr>
            <w:tcW w:w="9288" w:type="dxa"/>
            <w:gridSpan w:val="2"/>
          </w:tcPr>
          <w:p w:rsidR="006B6738" w:rsidRPr="00BB1288" w:rsidRDefault="006B6738" w:rsidP="00DB5B75">
            <w:pPr>
              <w:rPr>
                <w:rFonts w:eastAsia="Times New Roman"/>
              </w:rPr>
            </w:pPr>
            <w:r w:rsidRPr="00BB1288">
              <w:rPr>
                <w:rFonts w:eastAsia="Times New Roman"/>
              </w:rPr>
              <w:t xml:space="preserve">Job Purpose:       </w:t>
            </w:r>
          </w:p>
          <w:p w:rsidR="006B6738" w:rsidRPr="006A07AE" w:rsidRDefault="006B6738" w:rsidP="00DB5B75">
            <w:pPr>
              <w:ind w:left="0" w:firstLine="0"/>
              <w:rPr>
                <w:rFonts w:eastAsia="Times New Roman" w:cs="Calibri"/>
              </w:rPr>
            </w:pPr>
            <w:r w:rsidRPr="006A07AE">
              <w:rPr>
                <w:rFonts w:eastAsia="Times New Roman" w:cs="Calibri"/>
              </w:rPr>
              <w:t>En</w:t>
            </w:r>
            <w:r>
              <w:rPr>
                <w:rFonts w:eastAsia="Times New Roman" w:cs="Calibri"/>
              </w:rPr>
              <w:t>suring purchase invoices are processe</w:t>
            </w:r>
            <w:r w:rsidRPr="006A07AE">
              <w:rPr>
                <w:rFonts w:eastAsia="Times New Roman" w:cs="Calibri"/>
              </w:rPr>
              <w:t xml:space="preserve">d accurately and </w:t>
            </w:r>
            <w:r>
              <w:rPr>
                <w:rFonts w:eastAsia="Times New Roman" w:cs="Calibri"/>
              </w:rPr>
              <w:t xml:space="preserve">paid </w:t>
            </w:r>
            <w:r w:rsidRPr="006A07AE">
              <w:rPr>
                <w:rFonts w:eastAsia="Times New Roman" w:cs="Calibri"/>
              </w:rPr>
              <w:t>on time by liaising with our global offices and suppliers.</w:t>
            </w:r>
          </w:p>
          <w:p w:rsidR="006B6738" w:rsidRPr="00BB1288" w:rsidRDefault="006B6738" w:rsidP="006B6738">
            <w:pPr>
              <w:ind w:left="0" w:firstLine="0"/>
              <w:rPr>
                <w:rFonts w:eastAsia="Times New Roman"/>
              </w:rPr>
            </w:pPr>
          </w:p>
        </w:tc>
      </w:tr>
    </w:tbl>
    <w:tbl>
      <w:tblPr>
        <w:tblpPr w:leftFromText="180" w:rightFromText="180" w:vertAnchor="text" w:horzAnchor="margin" w:tblpX="87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6B6738" w:rsidRPr="00BB1288" w:rsidTr="00DB5B75">
        <w:trPr>
          <w:trHeight w:val="344"/>
        </w:trPr>
        <w:tc>
          <w:tcPr>
            <w:tcW w:w="4644" w:type="dxa"/>
          </w:tcPr>
          <w:p w:rsidR="006B6738" w:rsidRPr="00BB1288" w:rsidRDefault="006B6738" w:rsidP="00DB5B75">
            <w:pPr>
              <w:rPr>
                <w:rFonts w:eastAsia="Times New Roman"/>
              </w:rPr>
            </w:pPr>
            <w:r w:rsidRPr="00BB1288">
              <w:rPr>
                <w:rFonts w:eastAsia="Times New Roman"/>
              </w:rPr>
              <w:t>Areas of Responsibility and Key Tasks:</w:t>
            </w:r>
          </w:p>
        </w:tc>
        <w:tc>
          <w:tcPr>
            <w:tcW w:w="4644" w:type="dxa"/>
          </w:tcPr>
          <w:p w:rsidR="006B6738" w:rsidRPr="00BB1288" w:rsidRDefault="006B6738" w:rsidP="00DB5B75">
            <w:pPr>
              <w:rPr>
                <w:rFonts w:eastAsia="Times New Roman"/>
              </w:rPr>
            </w:pPr>
            <w:r w:rsidRPr="00BB1288">
              <w:rPr>
                <w:rFonts w:eastAsia="Times New Roman"/>
              </w:rPr>
              <w:t>Key Performance Indicators</w:t>
            </w:r>
          </w:p>
        </w:tc>
      </w:tr>
      <w:tr w:rsidR="006B6738" w:rsidRPr="00BB1288" w:rsidTr="00DB5B75">
        <w:trPr>
          <w:trHeight w:val="3539"/>
        </w:trPr>
        <w:tc>
          <w:tcPr>
            <w:tcW w:w="4644" w:type="dxa"/>
            <w:tcBorders>
              <w:bottom w:val="single" w:sz="4" w:space="0" w:color="auto"/>
            </w:tcBorders>
          </w:tcPr>
          <w:p w:rsidR="006B6738" w:rsidRPr="003B28E7" w:rsidRDefault="006B6738" w:rsidP="00DB5B75">
            <w:pPr>
              <w:ind w:left="0" w:firstLine="0"/>
              <w:rPr>
                <w:b/>
              </w:rPr>
            </w:pPr>
            <w:r w:rsidRPr="003B28E7">
              <w:rPr>
                <w:b/>
                <w:u w:val="single"/>
              </w:rPr>
              <w:t>Responsibilities</w:t>
            </w:r>
            <w:r w:rsidRPr="003B28E7">
              <w:rPr>
                <w:b/>
              </w:rPr>
              <w:t>:-</w:t>
            </w:r>
          </w:p>
          <w:p w:rsidR="006B6738" w:rsidRDefault="006B6738" w:rsidP="00DB5B75">
            <w:pPr>
              <w:ind w:left="0" w:firstLine="0"/>
            </w:pPr>
          </w:p>
          <w:p w:rsidR="006B6738" w:rsidRPr="00BB1288" w:rsidRDefault="006B6738" w:rsidP="00DB5B75">
            <w:pPr>
              <w:ind w:left="0" w:firstLine="0"/>
              <w:rPr>
                <w:rFonts w:eastAsia="Times New Roman"/>
              </w:rPr>
            </w:pPr>
            <w:r>
              <w:rPr>
                <w:rFonts w:eastAsia="Times New Roman"/>
              </w:rPr>
              <w:t>Processing purchase invoices received.</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Matching invoices to job/purchasing records.</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Distributing unmatched invoices for approval to regional offices and co-ordinating replies.</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Notifying suppliers of errors/queries.</w:t>
            </w:r>
          </w:p>
          <w:p w:rsidR="006B6738" w:rsidRDefault="006B6738" w:rsidP="00DB5B75">
            <w:pPr>
              <w:ind w:left="0" w:firstLine="0"/>
              <w:rPr>
                <w:rFonts w:eastAsia="Times New Roman"/>
              </w:rPr>
            </w:pP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Reconciling with supplier statements.</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Co-ordinating payments to suppliers.</w:t>
            </w:r>
          </w:p>
          <w:p w:rsidR="006B6738" w:rsidRDefault="006B6738" w:rsidP="00DB5B75">
            <w:pPr>
              <w:ind w:left="0" w:firstLine="0"/>
              <w:rPr>
                <w:rFonts w:eastAsia="Times New Roman"/>
              </w:rPr>
            </w:pP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Facilitating urgent payments to shipping lines.</w:t>
            </w:r>
          </w:p>
          <w:p w:rsidR="006B6738" w:rsidRDefault="006B6738" w:rsidP="00DB5B75">
            <w:pPr>
              <w:ind w:left="0" w:firstLine="0"/>
              <w:rPr>
                <w:rFonts w:eastAsia="Times New Roman"/>
              </w:rPr>
            </w:pP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General administration work.</w:t>
            </w:r>
          </w:p>
          <w:p w:rsidR="006B6738" w:rsidRDefault="006B6738" w:rsidP="00DB5B75">
            <w:pPr>
              <w:ind w:left="0" w:firstLine="0"/>
              <w:rPr>
                <w:rFonts w:eastAsia="Times New Roman"/>
                <w:b/>
                <w:u w:val="single"/>
              </w:rPr>
            </w:pPr>
          </w:p>
          <w:p w:rsidR="006B6738" w:rsidRPr="004D41D4" w:rsidRDefault="006B6738" w:rsidP="00DB5B75">
            <w:pPr>
              <w:ind w:left="0" w:firstLine="0"/>
              <w:rPr>
                <w:rFonts w:eastAsia="Times New Roman"/>
              </w:rPr>
            </w:pPr>
            <w:r w:rsidRPr="004D41D4">
              <w:rPr>
                <w:rFonts w:eastAsia="Times New Roman"/>
              </w:rPr>
              <w:t>Supporting the Company’s core values and behaviours.</w:t>
            </w:r>
          </w:p>
          <w:p w:rsidR="006B6738" w:rsidRPr="00BB1288" w:rsidRDefault="006B6738" w:rsidP="00DB5B75">
            <w:pPr>
              <w:ind w:left="0" w:firstLine="0"/>
              <w:rPr>
                <w:rFonts w:eastAsia="Times New Roman"/>
              </w:rPr>
            </w:pPr>
          </w:p>
        </w:tc>
        <w:tc>
          <w:tcPr>
            <w:tcW w:w="4644" w:type="dxa"/>
            <w:tcBorders>
              <w:bottom w:val="single" w:sz="4" w:space="0" w:color="auto"/>
            </w:tcBorders>
          </w:tcPr>
          <w:p w:rsidR="006B6738" w:rsidRPr="00BB1288" w:rsidRDefault="006B6738" w:rsidP="00DB5B75">
            <w:pPr>
              <w:ind w:left="0" w:firstLine="0"/>
              <w:rPr>
                <w:rFonts w:eastAsia="Times New Roman"/>
              </w:rPr>
            </w:pP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Accurate and timely entry of purchase invoices.</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Purchase invoice and job matched accurately.</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Approval always gained prior to payment of invoices.</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Good management of errors and queries.</w:t>
            </w:r>
          </w:p>
          <w:p w:rsidR="006B6738" w:rsidRDefault="006B6738" w:rsidP="00DB5B75">
            <w:pPr>
              <w:ind w:left="0" w:firstLine="0"/>
              <w:rPr>
                <w:rFonts w:eastAsia="Times New Roman"/>
              </w:rPr>
            </w:pPr>
          </w:p>
          <w:p w:rsidR="009B4318" w:rsidRDefault="009B4318" w:rsidP="00DB5B75">
            <w:pPr>
              <w:ind w:left="0" w:firstLine="0"/>
              <w:rPr>
                <w:rFonts w:eastAsia="Times New Roman"/>
              </w:rPr>
            </w:pPr>
          </w:p>
          <w:p w:rsidR="006B6738" w:rsidRDefault="006B6738" w:rsidP="00DB5B75">
            <w:pPr>
              <w:ind w:left="0" w:firstLine="0"/>
              <w:rPr>
                <w:rFonts w:eastAsia="Times New Roman"/>
              </w:rPr>
            </w:pPr>
            <w:r>
              <w:rPr>
                <w:rFonts w:eastAsia="Times New Roman"/>
              </w:rPr>
              <w:t>Accuracy in supplier reconciliations.</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Payments made to suppliers are timely and accurate.</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Avoidance of freight delays through immediate handling of shipping line invoices.</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Pr>
                <w:rFonts w:eastAsia="Times New Roman"/>
              </w:rPr>
              <w:t>Up-to-date with admin. and filing.</w:t>
            </w:r>
          </w:p>
          <w:p w:rsidR="006B6738" w:rsidRDefault="006B6738" w:rsidP="00DB5B75">
            <w:pPr>
              <w:ind w:left="0" w:firstLine="0"/>
              <w:rPr>
                <w:rFonts w:eastAsia="Times New Roman"/>
              </w:rPr>
            </w:pPr>
          </w:p>
          <w:p w:rsidR="006B6738" w:rsidRDefault="006B6738" w:rsidP="00DB5B75">
            <w:pPr>
              <w:ind w:left="0" w:firstLine="0"/>
              <w:rPr>
                <w:rFonts w:eastAsia="Times New Roman"/>
              </w:rPr>
            </w:pPr>
            <w:r w:rsidRPr="004D41D4">
              <w:rPr>
                <w:rFonts w:eastAsia="Times New Roman"/>
              </w:rPr>
              <w:t>Displaying behaviour in-line with the Company’s core values and behaviours and reporting or addressing any behaviour which is not compliant.</w:t>
            </w:r>
          </w:p>
          <w:p w:rsidR="006B6738" w:rsidRPr="00BB1288" w:rsidRDefault="006B6738" w:rsidP="00DB5B75">
            <w:pPr>
              <w:ind w:left="0" w:firstLine="0"/>
              <w:rPr>
                <w:rFonts w:eastAsia="Times New Roman"/>
              </w:rPr>
            </w:pPr>
          </w:p>
        </w:tc>
      </w:tr>
    </w:tbl>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Default="006B6738" w:rsidP="006B6738">
      <w:pPr>
        <w:ind w:left="0" w:firstLine="0"/>
        <w:jc w:val="both"/>
      </w:pPr>
    </w:p>
    <w:p w:rsidR="006B6738" w:rsidRPr="00BB1288" w:rsidRDefault="006B6738" w:rsidP="006B6738">
      <w:pPr>
        <w:ind w:left="720" w:firstLine="0"/>
        <w:jc w:val="both"/>
      </w:pPr>
      <w:r>
        <w:t>This job description is not</w:t>
      </w:r>
      <w:r w:rsidRPr="00BB1288">
        <w:t xml:space="preserve"> intended to be an exhaustive list of duties. As such it is liable to change in accordance with the needs of the business and may be amended from time to time following </w:t>
      </w:r>
      <w:r>
        <w:t>discussion with the post holder.</w:t>
      </w:r>
    </w:p>
    <w:p w:rsidR="006B6738" w:rsidRPr="00BB1288" w:rsidRDefault="006B6738" w:rsidP="006B6738">
      <w:pPr>
        <w:ind w:left="0" w:firstLine="0"/>
        <w:jc w:val="center"/>
      </w:pPr>
    </w:p>
    <w:sectPr w:rsidR="006B6738" w:rsidRPr="00BB1288" w:rsidSect="0006753B">
      <w:pgSz w:w="11907" w:h="16839" w:code="9"/>
      <w:pgMar w:top="680" w:right="1275" w:bottom="1134"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14" w:rsidRDefault="006E5314" w:rsidP="00AC66FE">
      <w:r>
        <w:separator/>
      </w:r>
    </w:p>
  </w:endnote>
  <w:endnote w:type="continuationSeparator" w:id="0">
    <w:p w:rsidR="006E5314" w:rsidRDefault="006E5314" w:rsidP="00AC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14" w:rsidRDefault="006E5314" w:rsidP="00AC66FE">
      <w:r>
        <w:separator/>
      </w:r>
    </w:p>
  </w:footnote>
  <w:footnote w:type="continuationSeparator" w:id="0">
    <w:p w:rsidR="006E5314" w:rsidRDefault="006E5314" w:rsidP="00AC6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70E10"/>
    <w:multiLevelType w:val="hybridMultilevel"/>
    <w:tmpl w:val="784A21C4"/>
    <w:lvl w:ilvl="0" w:tplc="E97E2C56">
      <w:start w:val="1"/>
      <w:numFmt w:val="bullet"/>
      <w:lvlText w:val=""/>
      <w:lvlJc w:val="left"/>
      <w:pPr>
        <w:ind w:left="680" w:hanging="567"/>
      </w:pPr>
      <w:rPr>
        <w:rFonts w:ascii="Wingdings" w:hAnsi="Wingdings" w:hint="default"/>
        <w:b w:val="0"/>
        <w:i w:val="0"/>
        <w:color w:val="9C2A23"/>
        <w:position w:val="-6"/>
        <w:sz w:val="36"/>
      </w:rPr>
    </w:lvl>
    <w:lvl w:ilvl="1" w:tplc="04090003" w:tentative="1">
      <w:start w:val="1"/>
      <w:numFmt w:val="bullet"/>
      <w:lvlText w:val="o"/>
      <w:lvlJc w:val="left"/>
      <w:pPr>
        <w:ind w:left="1109" w:hanging="360"/>
      </w:pPr>
      <w:rPr>
        <w:rFonts w:ascii="Courier New" w:hAnsi="Courier New" w:cs="Arial"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Arial"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Arial" w:hint="default"/>
      </w:rPr>
    </w:lvl>
    <w:lvl w:ilvl="8" w:tplc="04090005" w:tentative="1">
      <w:start w:val="1"/>
      <w:numFmt w:val="bullet"/>
      <w:lvlText w:val=""/>
      <w:lvlJc w:val="left"/>
      <w:pPr>
        <w:ind w:left="6149" w:hanging="360"/>
      </w:pPr>
      <w:rPr>
        <w:rFonts w:ascii="Wingdings" w:hAnsi="Wingdings" w:hint="default"/>
      </w:rPr>
    </w:lvl>
  </w:abstractNum>
  <w:abstractNum w:abstractNumId="1" w15:restartNumberingAfterBreak="0">
    <w:nsid w:val="44E41013"/>
    <w:multiLevelType w:val="hybridMultilevel"/>
    <w:tmpl w:val="A498FEF2"/>
    <w:lvl w:ilvl="0" w:tplc="CFBA96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4526A"/>
    <w:multiLevelType w:val="hybridMultilevel"/>
    <w:tmpl w:val="62CA7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EF7B04"/>
    <w:multiLevelType w:val="hybridMultilevel"/>
    <w:tmpl w:val="3E1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E4"/>
    <w:rsid w:val="00007C59"/>
    <w:rsid w:val="0006753B"/>
    <w:rsid w:val="00085086"/>
    <w:rsid w:val="00097F01"/>
    <w:rsid w:val="000C24DC"/>
    <w:rsid w:val="00103E12"/>
    <w:rsid w:val="00125D5B"/>
    <w:rsid w:val="00135642"/>
    <w:rsid w:val="0013765A"/>
    <w:rsid w:val="00143ADD"/>
    <w:rsid w:val="0017053C"/>
    <w:rsid w:val="00195152"/>
    <w:rsid w:val="001B22E1"/>
    <w:rsid w:val="001C2281"/>
    <w:rsid w:val="001D0C86"/>
    <w:rsid w:val="001E38DC"/>
    <w:rsid w:val="00201C4C"/>
    <w:rsid w:val="0023201B"/>
    <w:rsid w:val="00240E78"/>
    <w:rsid w:val="002502EF"/>
    <w:rsid w:val="00252F86"/>
    <w:rsid w:val="00286252"/>
    <w:rsid w:val="002A0C33"/>
    <w:rsid w:val="002A764B"/>
    <w:rsid w:val="0031352D"/>
    <w:rsid w:val="00323E82"/>
    <w:rsid w:val="0034279D"/>
    <w:rsid w:val="00363E0C"/>
    <w:rsid w:val="00366FD3"/>
    <w:rsid w:val="00377A8B"/>
    <w:rsid w:val="00380BE6"/>
    <w:rsid w:val="00380CC5"/>
    <w:rsid w:val="003A1A3C"/>
    <w:rsid w:val="003A716D"/>
    <w:rsid w:val="003B0696"/>
    <w:rsid w:val="003B28E7"/>
    <w:rsid w:val="003C3C56"/>
    <w:rsid w:val="003C7213"/>
    <w:rsid w:val="003D2FFB"/>
    <w:rsid w:val="003D6D98"/>
    <w:rsid w:val="0040012E"/>
    <w:rsid w:val="00417906"/>
    <w:rsid w:val="00417FE4"/>
    <w:rsid w:val="00427109"/>
    <w:rsid w:val="00450B69"/>
    <w:rsid w:val="0046010C"/>
    <w:rsid w:val="00462EFB"/>
    <w:rsid w:val="00471D1F"/>
    <w:rsid w:val="004A67FB"/>
    <w:rsid w:val="004C5253"/>
    <w:rsid w:val="004D111A"/>
    <w:rsid w:val="004F7875"/>
    <w:rsid w:val="0055798D"/>
    <w:rsid w:val="00566A71"/>
    <w:rsid w:val="00580A66"/>
    <w:rsid w:val="00597869"/>
    <w:rsid w:val="005A6408"/>
    <w:rsid w:val="005B2ECB"/>
    <w:rsid w:val="005C0AF7"/>
    <w:rsid w:val="005E0575"/>
    <w:rsid w:val="005E08DF"/>
    <w:rsid w:val="005E52CB"/>
    <w:rsid w:val="005F3A9A"/>
    <w:rsid w:val="00600C2E"/>
    <w:rsid w:val="006053B4"/>
    <w:rsid w:val="006255A9"/>
    <w:rsid w:val="00630708"/>
    <w:rsid w:val="0067324E"/>
    <w:rsid w:val="00696FA0"/>
    <w:rsid w:val="006A07AE"/>
    <w:rsid w:val="006B1EF4"/>
    <w:rsid w:val="006B46BB"/>
    <w:rsid w:val="006B6738"/>
    <w:rsid w:val="006C349D"/>
    <w:rsid w:val="006D0FE4"/>
    <w:rsid w:val="006D33CE"/>
    <w:rsid w:val="006D3B30"/>
    <w:rsid w:val="006E5314"/>
    <w:rsid w:val="006F3222"/>
    <w:rsid w:val="0070011C"/>
    <w:rsid w:val="00702A28"/>
    <w:rsid w:val="007152E4"/>
    <w:rsid w:val="00722DB1"/>
    <w:rsid w:val="007254E0"/>
    <w:rsid w:val="007E634F"/>
    <w:rsid w:val="00822E9D"/>
    <w:rsid w:val="00842CB0"/>
    <w:rsid w:val="00844C4E"/>
    <w:rsid w:val="00847F14"/>
    <w:rsid w:val="00864C08"/>
    <w:rsid w:val="00866CCF"/>
    <w:rsid w:val="008825F1"/>
    <w:rsid w:val="0088594E"/>
    <w:rsid w:val="00890506"/>
    <w:rsid w:val="00896D2E"/>
    <w:rsid w:val="008C3F5F"/>
    <w:rsid w:val="008D168A"/>
    <w:rsid w:val="0090467C"/>
    <w:rsid w:val="00945600"/>
    <w:rsid w:val="0096486F"/>
    <w:rsid w:val="0097045F"/>
    <w:rsid w:val="009B4318"/>
    <w:rsid w:val="009B4710"/>
    <w:rsid w:val="009B7960"/>
    <w:rsid w:val="00A138AE"/>
    <w:rsid w:val="00A26539"/>
    <w:rsid w:val="00A31882"/>
    <w:rsid w:val="00A7777A"/>
    <w:rsid w:val="00AC66FE"/>
    <w:rsid w:val="00AE015B"/>
    <w:rsid w:val="00AE39F4"/>
    <w:rsid w:val="00B003EA"/>
    <w:rsid w:val="00B0613A"/>
    <w:rsid w:val="00B07887"/>
    <w:rsid w:val="00B2027C"/>
    <w:rsid w:val="00B76028"/>
    <w:rsid w:val="00B91D17"/>
    <w:rsid w:val="00BA414A"/>
    <w:rsid w:val="00BA4E48"/>
    <w:rsid w:val="00BB1288"/>
    <w:rsid w:val="00BC4F04"/>
    <w:rsid w:val="00BC7D6A"/>
    <w:rsid w:val="00BD7D8B"/>
    <w:rsid w:val="00C16510"/>
    <w:rsid w:val="00C250B4"/>
    <w:rsid w:val="00C363BE"/>
    <w:rsid w:val="00C51466"/>
    <w:rsid w:val="00C61ECA"/>
    <w:rsid w:val="00C62946"/>
    <w:rsid w:val="00C86D33"/>
    <w:rsid w:val="00C96D1B"/>
    <w:rsid w:val="00CB5F91"/>
    <w:rsid w:val="00CE6119"/>
    <w:rsid w:val="00D15E5F"/>
    <w:rsid w:val="00D31949"/>
    <w:rsid w:val="00D365B2"/>
    <w:rsid w:val="00D608DA"/>
    <w:rsid w:val="00D6766A"/>
    <w:rsid w:val="00D74DE6"/>
    <w:rsid w:val="00DA3272"/>
    <w:rsid w:val="00DB1537"/>
    <w:rsid w:val="00DB3B7E"/>
    <w:rsid w:val="00DB7D83"/>
    <w:rsid w:val="00DE36F0"/>
    <w:rsid w:val="00E12283"/>
    <w:rsid w:val="00E1437E"/>
    <w:rsid w:val="00E244A2"/>
    <w:rsid w:val="00E261C1"/>
    <w:rsid w:val="00E356FF"/>
    <w:rsid w:val="00E6441F"/>
    <w:rsid w:val="00E87BEE"/>
    <w:rsid w:val="00EA6879"/>
    <w:rsid w:val="00EA6B1B"/>
    <w:rsid w:val="00EC0243"/>
    <w:rsid w:val="00EC65BE"/>
    <w:rsid w:val="00F04D52"/>
    <w:rsid w:val="00F24BC8"/>
    <w:rsid w:val="00F44969"/>
    <w:rsid w:val="00F6608C"/>
    <w:rsid w:val="00F84282"/>
    <w:rsid w:val="00FA0219"/>
    <w:rsid w:val="00FA726B"/>
    <w:rsid w:val="00FD21F8"/>
    <w:rsid w:val="00FE17C6"/>
    <w:rsid w:val="00FE4B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9763CD"/>
  <w15:docId w15:val="{52ACC1B4-2D35-44EA-B73F-2F27D4FD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E4"/>
    <w:pPr>
      <w:ind w:left="340" w:hanging="22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FE4"/>
    <w:pPr>
      <w:tabs>
        <w:tab w:val="center" w:pos="4680"/>
        <w:tab w:val="right" w:pos="9360"/>
      </w:tabs>
    </w:pPr>
  </w:style>
  <w:style w:type="character" w:customStyle="1" w:styleId="HeaderChar">
    <w:name w:val="Header Char"/>
    <w:basedOn w:val="DefaultParagraphFont"/>
    <w:link w:val="Header"/>
    <w:uiPriority w:val="99"/>
    <w:rsid w:val="00417FE4"/>
  </w:style>
  <w:style w:type="paragraph" w:styleId="Footer">
    <w:name w:val="footer"/>
    <w:basedOn w:val="Normal"/>
    <w:link w:val="FooterChar"/>
    <w:uiPriority w:val="99"/>
    <w:unhideWhenUsed/>
    <w:rsid w:val="00417FE4"/>
    <w:pPr>
      <w:tabs>
        <w:tab w:val="center" w:pos="4680"/>
        <w:tab w:val="right" w:pos="9360"/>
      </w:tabs>
    </w:pPr>
  </w:style>
  <w:style w:type="character" w:customStyle="1" w:styleId="FooterChar">
    <w:name w:val="Footer Char"/>
    <w:basedOn w:val="DefaultParagraphFont"/>
    <w:link w:val="Footer"/>
    <w:uiPriority w:val="99"/>
    <w:rsid w:val="00417FE4"/>
  </w:style>
  <w:style w:type="paragraph" w:styleId="BalloonText">
    <w:name w:val="Balloon Text"/>
    <w:basedOn w:val="Normal"/>
    <w:link w:val="BalloonTextChar"/>
    <w:uiPriority w:val="99"/>
    <w:semiHidden/>
    <w:unhideWhenUsed/>
    <w:rsid w:val="00417FE4"/>
    <w:rPr>
      <w:rFonts w:ascii="Tahoma" w:hAnsi="Tahoma" w:cs="Tahoma"/>
      <w:sz w:val="16"/>
      <w:szCs w:val="16"/>
    </w:rPr>
  </w:style>
  <w:style w:type="character" w:customStyle="1" w:styleId="BalloonTextChar">
    <w:name w:val="Balloon Text Char"/>
    <w:link w:val="BalloonText"/>
    <w:uiPriority w:val="99"/>
    <w:semiHidden/>
    <w:rsid w:val="00417FE4"/>
    <w:rPr>
      <w:rFonts w:ascii="Tahoma" w:hAnsi="Tahoma" w:cs="Tahoma"/>
      <w:sz w:val="16"/>
      <w:szCs w:val="16"/>
    </w:rPr>
  </w:style>
  <w:style w:type="paragraph" w:customStyle="1" w:styleId="ColorfulList-Accent11">
    <w:name w:val="Colorful List - Accent 11"/>
    <w:basedOn w:val="Normal"/>
    <w:uiPriority w:val="34"/>
    <w:qFormat/>
    <w:rsid w:val="00417FE4"/>
    <w:pPr>
      <w:ind w:left="720"/>
      <w:contextualSpacing/>
    </w:pPr>
  </w:style>
  <w:style w:type="paragraph" w:styleId="NormalWeb">
    <w:name w:val="Normal (Web)"/>
    <w:basedOn w:val="Normal"/>
    <w:uiPriority w:val="99"/>
    <w:unhideWhenUsed/>
    <w:rsid w:val="00417FE4"/>
    <w:pPr>
      <w:spacing w:after="210" w:line="210" w:lineRule="atLeast"/>
      <w:ind w:left="0" w:firstLine="0"/>
      <w:jc w:val="both"/>
    </w:pPr>
    <w:rPr>
      <w:rFonts w:ascii="Times New Roman" w:eastAsia="Times New Roman" w:hAnsi="Times New Roman"/>
      <w:sz w:val="17"/>
      <w:szCs w:val="17"/>
    </w:rPr>
  </w:style>
  <w:style w:type="table" w:styleId="TableGrid">
    <w:name w:val="Table Grid"/>
    <w:basedOn w:val="TableNormal"/>
    <w:rsid w:val="00E943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358">
      <w:bodyDiv w:val="1"/>
      <w:marLeft w:val="0"/>
      <w:marRight w:val="0"/>
      <w:marTop w:val="0"/>
      <w:marBottom w:val="0"/>
      <w:divBdr>
        <w:top w:val="none" w:sz="0" w:space="0" w:color="auto"/>
        <w:left w:val="none" w:sz="0" w:space="0" w:color="auto"/>
        <w:bottom w:val="none" w:sz="0" w:space="0" w:color="auto"/>
        <w:right w:val="none" w:sz="0" w:space="0" w:color="auto"/>
      </w:divBdr>
    </w:div>
    <w:div w:id="1484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4FB9-4158-4784-B546-2006699B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MLR</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Hayley Perry</dc:creator>
  <cp:lastModifiedBy>Iveta Smincakova</cp:lastModifiedBy>
  <cp:revision>12</cp:revision>
  <cp:lastPrinted>2015-12-03T14:19:00Z</cp:lastPrinted>
  <dcterms:created xsi:type="dcterms:W3CDTF">2017-06-13T16:06:00Z</dcterms:created>
  <dcterms:modified xsi:type="dcterms:W3CDTF">2021-03-19T09:44:00Z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2 - Form</vt:lpwstr>
  </property>
</Properties>
</file>